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F6" w:rsidRPr="006A6908" w:rsidRDefault="00216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2165F6" w:rsidRPr="006A6908" w:rsidRDefault="00362682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Alla Stazione Appaltante</w:t>
      </w:r>
    </w:p>
    <w:p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6908">
        <w:rPr>
          <w:rFonts w:ascii="Times New Roman" w:hAnsi="Times New Roman" w:cs="Times New Roman"/>
          <w:b/>
        </w:rPr>
        <w:t>Consorzio per l’Area di Sviluppo Industriale di Bari</w:t>
      </w:r>
    </w:p>
    <w:p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Via delle Dali</w:t>
      </w:r>
      <w:r w:rsidR="006A6908">
        <w:rPr>
          <w:rFonts w:ascii="Times New Roman" w:hAnsi="Times New Roman" w:cs="Times New Roman"/>
        </w:rPr>
        <w:t>e</w:t>
      </w:r>
      <w:r w:rsidRPr="006A6908">
        <w:rPr>
          <w:rFonts w:ascii="Times New Roman" w:hAnsi="Times New Roman" w:cs="Times New Roman"/>
        </w:rPr>
        <w:t xml:space="preserve"> n.5 – 70026 – Modugno (Ba)</w:t>
      </w:r>
    </w:p>
    <w:p w:rsidR="009B03EE" w:rsidRPr="006A6908" w:rsidRDefault="009B03EE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6908" w:rsidRP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65F6" w:rsidRPr="006A6908" w:rsidRDefault="009B03EE" w:rsidP="009B03EE">
      <w:pPr>
        <w:pStyle w:val="Corpodeltesto"/>
        <w:spacing w:before="3"/>
        <w:ind w:left="0" w:right="808"/>
        <w:jc w:val="center"/>
        <w:rPr>
          <w:b/>
          <w:szCs w:val="22"/>
          <w:u w:val="single"/>
        </w:rPr>
      </w:pPr>
      <w:r w:rsidRPr="006A6908">
        <w:rPr>
          <w:b/>
          <w:szCs w:val="22"/>
          <w:u w:val="single"/>
        </w:rPr>
        <w:t xml:space="preserve">MODULO </w:t>
      </w:r>
      <w:r w:rsidR="005030EF" w:rsidRPr="006A6908">
        <w:rPr>
          <w:b/>
          <w:szCs w:val="22"/>
          <w:u w:val="single"/>
        </w:rPr>
        <w:t>PATTO</w:t>
      </w:r>
      <w:r w:rsidRPr="006A6908">
        <w:rPr>
          <w:b/>
          <w:szCs w:val="22"/>
          <w:u w:val="single"/>
        </w:rPr>
        <w:t xml:space="preserve"> DI </w:t>
      </w:r>
      <w:r w:rsidR="005030EF" w:rsidRPr="006A6908">
        <w:rPr>
          <w:b/>
          <w:szCs w:val="22"/>
          <w:u w:val="single"/>
        </w:rPr>
        <w:t>INTEGRITA’</w:t>
      </w: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A6908" w:rsidRPr="00A06AAB" w:rsidRDefault="006A6908" w:rsidP="006A6908">
      <w:pPr>
        <w:pStyle w:val="Default"/>
        <w:ind w:left="1440" w:hanging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6AAB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PROCEDURA NEGOZIATA ART. </w:t>
      </w:r>
      <w:r w:rsidR="004627DA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, C. </w:t>
      </w:r>
      <w:r w:rsidR="004627D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, LETT. B) DELLA LEGGE N. 120 DEL 11/09/2020 PER L’AFFIDAMENTO DEL SERVIZIO DI PORTIERATO PRESSO IL COMPLESSO DI RUSTICI INDUSTRIALI SITO NELL’AGGLOMERATO INDUSTRIALE DI BARI – MODUGNO IN VIA DEI BUCANEVE </w:t>
      </w:r>
      <w:r w:rsidR="0069261D">
        <w:rPr>
          <w:rFonts w:ascii="Times New Roman" w:hAnsi="Times New Roman" w:cs="Times New Roman"/>
          <w:b/>
          <w:bCs/>
          <w:sz w:val="22"/>
          <w:szCs w:val="22"/>
        </w:rPr>
        <w:t>A PARTIRE DAL 01.09.2022 E SINO AL 31.08.2023</w:t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C471AE" w:rsidRDefault="00C471AE" w:rsidP="00C471AE">
      <w:pPr>
        <w:pStyle w:val="Standard"/>
        <w:spacing w:before="60" w:after="60" w:line="360" w:lineRule="auto"/>
        <w:ind w:left="720" w:firstLine="720"/>
        <w:jc w:val="both"/>
        <w:rPr>
          <w:b/>
          <w:bCs/>
          <w:sz w:val="22"/>
          <w:szCs w:val="22"/>
        </w:rPr>
      </w:pPr>
      <w:r w:rsidRPr="00A06AAB">
        <w:rPr>
          <w:b/>
          <w:bCs/>
          <w:sz w:val="22"/>
          <w:szCs w:val="22"/>
        </w:rPr>
        <w:t xml:space="preserve">CIG. </w:t>
      </w:r>
      <w:r w:rsidR="004C25B7" w:rsidRPr="004C25B7">
        <w:rPr>
          <w:b/>
          <w:bCs/>
          <w:sz w:val="22"/>
          <w:szCs w:val="22"/>
        </w:rPr>
        <w:t xml:space="preserve">9250018C52 </w:t>
      </w:r>
      <w:r>
        <w:rPr>
          <w:b/>
          <w:bCs/>
          <w:sz w:val="22"/>
          <w:szCs w:val="22"/>
        </w:rPr>
        <w:t xml:space="preserve"> CUP </w:t>
      </w:r>
      <w:r w:rsidR="0069261D">
        <w:rPr>
          <w:b/>
          <w:bCs/>
          <w:sz w:val="22"/>
          <w:szCs w:val="22"/>
        </w:rPr>
        <w:t>D39J21016940007</w:t>
      </w:r>
    </w:p>
    <w:p w:rsidR="00C471AE" w:rsidRPr="006A6908" w:rsidRDefault="006A6908" w:rsidP="00C36CE9">
      <w:pPr>
        <w:pStyle w:val="Standard"/>
        <w:spacing w:before="60" w:after="60"/>
        <w:ind w:left="144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AGGIUDICAZIONE SULLA BASE DEL CRITERIO DELL'OFFERTA ECONOMICAMENTE PIÙ VANTAGGIOSA DI CUI ALL’ART.95 DEL D.LGS 50/2016</w:t>
      </w:r>
      <w:r w:rsidR="00C36CE9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E SS.MM.II. </w:t>
      </w:r>
      <w:r w:rsidR="00C471AE"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IMPORTO A BASE D'ASTA € </w:t>
      </w:r>
      <w:r w:rsidR="00240392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161.071,20</w:t>
      </w:r>
      <w:r w:rsidR="00C471AE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oltre IVA </w:t>
      </w:r>
      <w:r w:rsidR="004C25B7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COMPRENSIVO DI</w:t>
      </w:r>
      <w:r w:rsidR="00C471AE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€ 4.</w:t>
      </w:r>
      <w:r w:rsidR="0069261D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690,45</w:t>
      </w:r>
      <w:r w:rsidR="00C471AE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OLTRE IVA PER ONERI DELLA SICUREZZA</w:t>
      </w: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030EF" w:rsidRPr="00C471AE" w:rsidRDefault="005030EF" w:rsidP="005030EF">
      <w:pPr>
        <w:pStyle w:val="Corpodeltesto"/>
        <w:spacing w:line="276" w:lineRule="auto"/>
        <w:ind w:left="0" w:firstLine="720"/>
        <w:jc w:val="both"/>
      </w:pPr>
      <w:r w:rsidRPr="00C471AE">
        <w:t xml:space="preserve">Il presente patto d’integrità costituisce parte integrante della documentazione di gara e sancisce la reciproca, formale obbligazione dell’ente </w:t>
      </w:r>
      <w:r w:rsidRPr="00C471AE">
        <w:rPr>
          <w:b/>
        </w:rPr>
        <w:t xml:space="preserve">Consorzio  per l’Area di Sviluppo Industriale di Bari </w:t>
      </w:r>
      <w:r w:rsidRPr="00C471AE">
        <w:t>e dei partecipanti alla procedura di scelta del contraente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:rsidR="005030EF" w:rsidRPr="006A6908" w:rsidRDefault="005030EF" w:rsidP="005030EF">
      <w:pPr>
        <w:pStyle w:val="Corpodeltesto"/>
        <w:spacing w:line="276" w:lineRule="auto"/>
        <w:ind w:left="0" w:firstLine="720"/>
        <w:jc w:val="both"/>
      </w:pPr>
      <w:r w:rsidRPr="006A6908">
        <w:t>Il personale, i collaboratori ed i consulenti dell’</w:t>
      </w:r>
      <w:r w:rsidR="00C471AE">
        <w:t>E</w:t>
      </w:r>
      <w:r w:rsidRPr="006A6908">
        <w:t xml:space="preserve">nte </w:t>
      </w:r>
      <w:r w:rsidRPr="006A6908">
        <w:rPr>
          <w:b/>
        </w:rPr>
        <w:t xml:space="preserve">Consorzio per l’Area di Sviluppo Industriale di Bari </w:t>
      </w:r>
      <w:r w:rsidRPr="006A6908">
        <w:t>coinvolti nell’espletamento della gara e nel controllo dell’esecuzione del relativo contratto, condividendo il presente patto d’integrità, risultano edotti delle sanzioni previste a loro carico in caso di mancato rispetto delle statuizioni ivi previste.</w:t>
      </w:r>
    </w:p>
    <w:p w:rsidR="005030EF" w:rsidRPr="00C471AE" w:rsidRDefault="005030EF" w:rsidP="005030EF">
      <w:pPr>
        <w:pStyle w:val="Corpodeltesto"/>
        <w:spacing w:line="276" w:lineRule="auto"/>
        <w:ind w:left="0" w:firstLine="720"/>
        <w:jc w:val="both"/>
      </w:pPr>
      <w:r w:rsidRPr="00C471AE">
        <w:t>L’</w:t>
      </w:r>
      <w:r w:rsidR="00C471AE" w:rsidRPr="00C471AE">
        <w:t>E</w:t>
      </w:r>
      <w:r w:rsidRPr="00C471AE">
        <w:t xml:space="preserve">nte </w:t>
      </w:r>
      <w:r w:rsidRPr="00C471AE">
        <w:rPr>
          <w:b/>
        </w:rPr>
        <w:t xml:space="preserve">Consorzio per l’Area di Sviluppo Industriale di Bari </w:t>
      </w:r>
      <w:r w:rsidRPr="00C471AE">
        <w:t xml:space="preserve">si impegna comunicare a tutti i concorrenti i dati più rilevanti riguardanti la gara quali: </w:t>
      </w:r>
    </w:p>
    <w:p w:rsidR="005030EF" w:rsidRPr="00C471AE" w:rsidRDefault="005030EF" w:rsidP="005030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l’elenco dei concorrenti e le relative offerte desumibili dai verbali di gara;</w:t>
      </w:r>
    </w:p>
    <w:p w:rsidR="005030EF" w:rsidRPr="00C471AE" w:rsidRDefault="005030EF" w:rsidP="005030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lastRenderedPageBreak/>
        <w:t>l’elenco delle offerte respinte con la motivazione dell’esclusione e le ragioni specifiche per l’assegnazione del contratto al vincitore con relativa attestazione del rispetto dei criteri di valutazione desumibili dai verbali di gara.</w:t>
      </w:r>
    </w:p>
    <w:p w:rsidR="005030EF" w:rsidRPr="006A6908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173" w:type="dxa"/>
        <w:tblInd w:w="108" w:type="dxa"/>
        <w:tblLayout w:type="fixed"/>
        <w:tblLook w:val="0000"/>
      </w:tblPr>
      <w:tblGrid>
        <w:gridCol w:w="3828"/>
        <w:gridCol w:w="6345"/>
      </w:tblGrid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Data e luogo di nascita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In qualità di (carica sociale)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(</w:t>
            </w:r>
            <w:r w:rsidRPr="006A6908">
              <w:rPr>
                <w:rFonts w:ascii="Times New Roman" w:hAnsi="Times New Roman" w:cs="Times New Roman"/>
                <w:u w:val="single"/>
              </w:rPr>
              <w:t>se procuratore</w:t>
            </w:r>
            <w:r w:rsidRPr="006A6908">
              <w:rPr>
                <w:rFonts w:ascii="Times New Roman" w:hAnsi="Times New Roman" w:cs="Times New Roman"/>
              </w:rPr>
              <w:t>) estremi procura (notaio, repertorio, raccolta)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51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Operatore economico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Sede legale (via, città, prov.)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 xml:space="preserve">Sede operativa </w:t>
            </w:r>
          </w:p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(se diversa dalla sede legale)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Codice fiscale operatore economico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Partita IVA operatore economico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Casella PEC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Cellulare + Telefono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1D4D" w:rsidRPr="006A6908" w:rsidRDefault="008E1D4D" w:rsidP="008E1D4D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</w:rPr>
      </w:pPr>
    </w:p>
    <w:p w:rsidR="005030EF" w:rsidRPr="00C471AE" w:rsidRDefault="005030EF" w:rsidP="008E1D4D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 xml:space="preserve"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 </w:t>
      </w:r>
    </w:p>
    <w:p w:rsidR="005030EF" w:rsidRPr="006A6908" w:rsidRDefault="005030EF" w:rsidP="005030EF">
      <w:pPr>
        <w:rPr>
          <w:rFonts w:ascii="Times New Roman" w:hAnsi="Times New Roman" w:cs="Times New Roman"/>
          <w:b/>
          <w:bCs/>
        </w:rPr>
      </w:pPr>
    </w:p>
    <w:p w:rsidR="005030EF" w:rsidRPr="006A6908" w:rsidRDefault="005030EF" w:rsidP="005030EF">
      <w:pPr>
        <w:rPr>
          <w:rFonts w:ascii="Times New Roman" w:hAnsi="Times New Roman" w:cs="Times New Roman"/>
          <w:b/>
        </w:rPr>
      </w:pPr>
      <w:r w:rsidRPr="006A6908">
        <w:rPr>
          <w:rFonts w:ascii="Times New Roman" w:hAnsi="Times New Roman" w:cs="Times New Roman"/>
          <w:b/>
          <w:bCs/>
        </w:rPr>
        <w:t>IN QUALITA’ DI</w:t>
      </w:r>
    </w:p>
    <w:tbl>
      <w:tblPr>
        <w:tblW w:w="0" w:type="auto"/>
        <w:tblInd w:w="-8" w:type="dxa"/>
        <w:tblLayout w:type="fixed"/>
        <w:tblLook w:val="0000"/>
      </w:tblPr>
      <w:tblGrid>
        <w:gridCol w:w="534"/>
        <w:gridCol w:w="9639"/>
      </w:tblGrid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>Operatore economico singolo</w:t>
            </w:r>
            <w:r w:rsidRPr="006A6908">
              <w:rPr>
                <w:rFonts w:ascii="Times New Roman" w:hAnsi="Times New Roman" w:cs="Times New Roman"/>
              </w:rPr>
              <w:t xml:space="preserve"> ai sensi dell’art. 45, comma 2, lett. a) del D.Lgs. 50/2016 (imprenditore individuale, anche artigiano, società commerciale, società cooperativa).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lastRenderedPageBreak/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>Consorzio</w:t>
            </w:r>
            <w:r w:rsidRPr="006A6908">
              <w:rPr>
                <w:rFonts w:ascii="Times New Roman" w:hAnsi="Times New Roman" w:cs="Times New Roman"/>
              </w:rPr>
              <w:t xml:space="preserve"> di cui all’art. 45, comma 2, lett. b) del D.Lgs. 50/2016 – consorzi fra società cooperative di produzione e lavoro costituiti a norma della legge 25 giugno 1909, n. 422 e dal decreto legislativo del Capo provvisorio dello Stato 14 dicembre 1947 n. 1577, e successive modificazioni o consorzio tra imprese artigiane di cui alla legge 8 agosto 1985, n. 443.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>Consorzio</w:t>
            </w:r>
            <w:r w:rsidRPr="006A6908">
              <w:rPr>
                <w:rFonts w:ascii="Times New Roman" w:hAnsi="Times New Roman" w:cs="Times New Roman"/>
              </w:rPr>
              <w:t xml:space="preserve"> di cui all’art. 45, comma 2, lett. c) del D.Lgs. 50/2016 – Consorzio stabile, costituito anche in forma di società consortile ai sensi dell'articolo 2615 ter del codice civile, tra imprenditori individuali, anche artigiani, società commerciali, società cooperative di produzione e lavoro.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>Consorziata</w:t>
            </w:r>
            <w:r w:rsidRPr="006A6908">
              <w:rPr>
                <w:rFonts w:ascii="Times New Roman" w:hAnsi="Times New Roman" w:cs="Times New Roman"/>
              </w:rPr>
              <w:t xml:space="preserve"> per la quale il consorzio concorre / esecutrice nell’ipotesi di partecipazione di cui all’art. 45, comma 2, lett. b) o lett. c) del D.Lgs. n. 50/2016.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>Mandatario</w:t>
            </w:r>
            <w:r w:rsidRPr="006A6908">
              <w:rPr>
                <w:rFonts w:ascii="Times New Roman" w:hAnsi="Times New Roman" w:cs="Times New Roman"/>
              </w:rPr>
              <w:t xml:space="preserve"> di un RTI (art. 45, co. 2, lett. d), del D.Lgs. 50/2016) – come di seguito specificato. </w:t>
            </w:r>
          </w:p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tipo orizzontale  </w:t>
            </w: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tipo verticale   </w:t>
            </w: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tipo misto </w:t>
            </w:r>
          </w:p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costituendo      </w:t>
            </w: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costituito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 xml:space="preserve">Mandante </w:t>
            </w:r>
            <w:r w:rsidRPr="006A6908">
              <w:rPr>
                <w:rFonts w:ascii="Times New Roman" w:hAnsi="Times New Roman" w:cs="Times New Roman"/>
              </w:rPr>
              <w:t>di un RTI (art. 45, co. 2, lett. d), del D.Lgs. 50/2016) –  come di seguito specificato.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>Capogruppo</w:t>
            </w:r>
            <w:r w:rsidRPr="006A6908">
              <w:rPr>
                <w:rFonts w:ascii="Times New Roman" w:hAnsi="Times New Roman" w:cs="Times New Roman"/>
              </w:rPr>
              <w:t xml:space="preserve"> di un consorzio ordinario (art. 45, co. 2, lett. e), del D.Lgs. 50/2016) – come di seguito specificato.</w:t>
            </w:r>
          </w:p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tipo orizzontale  </w:t>
            </w: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tipo verticale   </w:t>
            </w: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tipo misto </w:t>
            </w:r>
          </w:p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costituendo     </w:t>
            </w: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costituito</w:t>
            </w:r>
          </w:p>
        </w:tc>
      </w:tr>
      <w:tr w:rsidR="005030EF" w:rsidRPr="006A6908" w:rsidTr="00E0324F">
        <w:trPr>
          <w:trHeight w:val="539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 xml:space="preserve">Consorziata </w:t>
            </w:r>
            <w:r w:rsidRPr="006A6908">
              <w:rPr>
                <w:rFonts w:ascii="Times New Roman" w:hAnsi="Times New Roman" w:cs="Times New Roman"/>
              </w:rPr>
              <w:t>di un consorzio ordinario (art. 45, co. 2, lett. e) del D.Lgs. 50/2016)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 xml:space="preserve">GEIE </w:t>
            </w:r>
            <w:r w:rsidRPr="006A6908">
              <w:rPr>
                <w:rFonts w:ascii="Times New Roman" w:hAnsi="Times New Roman" w:cs="Times New Roman"/>
              </w:rPr>
              <w:t xml:space="preserve">(art. 45, co. 2, lett. g) 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  <w:bCs/>
              </w:rPr>
              <w:t xml:space="preserve">Aggregazione di imprese di rete </w:t>
            </w:r>
            <w:r w:rsidRPr="006A6908">
              <w:rPr>
                <w:rFonts w:ascii="Times New Roman" w:hAnsi="Times New Roman" w:cs="Times New Roman"/>
              </w:rPr>
              <w:t>(D.Lgs. 50/2016 art. 45 – comma 2 - lett. e) come di seguito specificato.</w:t>
            </w:r>
          </w:p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17" w:right="51" w:hanging="284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dotata di un organo comune con potere di rappresentanza e di soggettività giuridica;</w:t>
            </w:r>
          </w:p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17" w:right="51" w:hanging="284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dotata di un organo comune con potere di rappresentanza ma priva di soggettività giuridica; </w:t>
            </w:r>
          </w:p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17" w:right="51" w:hanging="284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  <w:r w:rsidRPr="006A6908">
              <w:rPr>
                <w:rFonts w:ascii="Times New Roman" w:hAnsi="Times New Roman" w:cs="Times New Roman"/>
              </w:rPr>
              <w:t xml:space="preserve"> dotata di un organo comune privo del potere di rappresentanza o se la rete è sprovvista di organo comune, ovvero, se l’organo comune è privo dei requisiti di qualificazione richiesti per assumere la veste di mandataria;</w:t>
            </w:r>
          </w:p>
        </w:tc>
      </w:tr>
      <w:tr w:rsidR="005030EF" w:rsidRPr="006A6908" w:rsidTr="00E0324F">
        <w:trPr>
          <w:trHeight w:val="56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b/>
              </w:rPr>
              <w:t>Operatore economico</w:t>
            </w:r>
            <w:r w:rsidRPr="006A6908">
              <w:rPr>
                <w:rFonts w:ascii="Times New Roman" w:hAnsi="Times New Roman" w:cs="Times New Roman"/>
              </w:rPr>
              <w:t>, ai sensi della Direttiva 2014/24UE.</w:t>
            </w:r>
          </w:p>
        </w:tc>
      </w:tr>
    </w:tbl>
    <w:p w:rsidR="005030EF" w:rsidRPr="006A6908" w:rsidRDefault="005030EF" w:rsidP="00503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30EF" w:rsidRPr="006A6908" w:rsidRDefault="005030EF" w:rsidP="00503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6908">
        <w:rPr>
          <w:rFonts w:ascii="Times New Roman" w:hAnsi="Times New Roman" w:cs="Times New Roman"/>
          <w:b/>
          <w:bCs/>
        </w:rPr>
        <w:t>DICHIARA</w:t>
      </w:r>
    </w:p>
    <w:p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da parte sua, l’impegno a segnalare all’</w:t>
      </w:r>
      <w:r w:rsidR="00C471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Consorzio per l’Area di Sviluppo Industriale di Bari 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qualsiasi tentativo di turbativa, irregolarità o distorsione nelle fasi di svolgimento della gara o durante l’esecuzione del contratto, da parte di ogni interessato o addetto o di chiunque possa influenzare le decisioni relative alla gara in oggetto;</w:t>
      </w:r>
    </w:p>
    <w:p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di non trovarsi in situazioni di controllo o di collegamento con altri concorrenti e che non si è accordato e non si accorderà con altri partecipanti alla gara;</w:t>
      </w:r>
    </w:p>
    <w:p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lastRenderedPageBreak/>
        <w:t>l’impegno a rendere noti, su richiesta dell’</w:t>
      </w:r>
      <w:r w:rsidR="00C471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nte, tutti i pagamenti eseguiti e riguardanti il contratto eventualmente assegnatogli a seguito della gara in oggetto compresi quelli eseguiti a favore di intermediari e consulenti. La remunerazione di questi ultimi non deve superare il “congruo ammontare dovuto per servizi legittimi”.</w:t>
      </w:r>
    </w:p>
    <w:p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di prendere nota e accettare che nel caso di mancato rispetto degli impegni anticorruzione assunti con questo patto di integrità comunque accertato dall’</w:t>
      </w:r>
      <w:r w:rsidR="00C471AE" w:rsidRPr="00C471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Consorzio per l’Area di Sviluppo Industriale di Bari 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potranno essere applicate le seguenti sanzioni:</w:t>
      </w:r>
    </w:p>
    <w:p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471AE">
        <w:rPr>
          <w:rFonts w:ascii="Times New Roman" w:hAnsi="Times New Roman" w:cs="Times New Roman"/>
          <w:sz w:val="24"/>
          <w:szCs w:val="24"/>
        </w:rPr>
        <w:t>isoluzion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e o perdita del contratto;</w:t>
      </w:r>
    </w:p>
    <w:p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responsabilità per danno arrecato all’</w:t>
      </w:r>
      <w:r w:rsidR="006A6908" w:rsidRPr="00C471AE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 xml:space="preserve">nte 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Consorzio per l’Area di Sviluppo Industriale di Bari </w:t>
      </w:r>
      <w:r w:rsidRPr="00C471AE">
        <w:rPr>
          <w:rFonts w:ascii="Times New Roman" w:hAnsi="Times New Roman" w:cs="Times New Roman"/>
          <w:sz w:val="24"/>
          <w:szCs w:val="24"/>
        </w:rPr>
        <w:t>nella misura del 10% del valore del contratto, impregiudicata la prova dell’esistenza di un danno maggiore;</w:t>
      </w:r>
    </w:p>
    <w:p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responsabilità per danno arrecato agli altri concorrenti della gara nella misura del 10% del valore del contratto per ogni partecipante, sempre impregiudicata la prova predetta;</w:t>
      </w:r>
    </w:p>
    <w:p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esclusione del concorrente dalle gare indette dall’</w:t>
      </w:r>
      <w:r w:rsidR="006A6908" w:rsidRPr="00C471AE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 xml:space="preserve">nte 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Consorzio per l’Area di Sviluppo Industriale di Bari </w:t>
      </w:r>
      <w:r w:rsidRPr="00C471AE">
        <w:rPr>
          <w:rFonts w:ascii="Times New Roman" w:hAnsi="Times New Roman" w:cs="Times New Roman"/>
          <w:sz w:val="24"/>
          <w:szCs w:val="24"/>
        </w:rPr>
        <w:t>per 5 anni.</w:t>
      </w:r>
    </w:p>
    <w:p w:rsidR="00C471AE" w:rsidRDefault="00C471AE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Il presente patto d’integrità e le relative sanzioni applicabili resteranno in vigore sino alla completa esecuzione del contratto assegnato a seguito della gara in oggetto.</w:t>
      </w:r>
    </w:p>
    <w:p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Le controversie relative all’interpretazione, ed esecuzione del presente patto d’integrità fra l’</w:t>
      </w:r>
      <w:r w:rsidR="006A6908" w:rsidRPr="00C471AE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 xml:space="preserve">nte 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Consorzio per l’Area di Sviluppo Industriale di Bari </w:t>
      </w:r>
      <w:r w:rsidRPr="00C471AE">
        <w:rPr>
          <w:rFonts w:ascii="Times New Roman" w:hAnsi="Times New Roman" w:cs="Times New Roman"/>
          <w:sz w:val="24"/>
          <w:szCs w:val="24"/>
        </w:rPr>
        <w:t>e i concorrenti e tra gli stessi concorrenti saranno deferite all’Autorità Giudiziaria competente.</w:t>
      </w:r>
    </w:p>
    <w:p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Data……………………………</w:t>
      </w:r>
    </w:p>
    <w:p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EF" w:rsidRPr="00C471AE" w:rsidRDefault="005030EF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 xml:space="preserve">Per l’ente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</w:p>
    <w:p w:rsidR="005030EF" w:rsidRPr="00C471AE" w:rsidRDefault="005030EF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Il RUP (g</w:t>
      </w:r>
      <w:r w:rsidR="006A6908" w:rsidRPr="00C471AE">
        <w:rPr>
          <w:rFonts w:ascii="Times New Roman" w:hAnsi="Times New Roman" w:cs="Times New Roman"/>
          <w:sz w:val="24"/>
          <w:szCs w:val="24"/>
        </w:rPr>
        <w:t>eom</w:t>
      </w:r>
      <w:r w:rsidRPr="00C471AE">
        <w:rPr>
          <w:rFonts w:ascii="Times New Roman" w:hAnsi="Times New Roman" w:cs="Times New Roman"/>
          <w:sz w:val="24"/>
          <w:szCs w:val="24"/>
        </w:rPr>
        <w:t xml:space="preserve">. </w:t>
      </w:r>
      <w:r w:rsidR="006A6908" w:rsidRPr="00C471AE">
        <w:rPr>
          <w:rFonts w:ascii="Times New Roman" w:hAnsi="Times New Roman" w:cs="Times New Roman"/>
          <w:sz w:val="24"/>
          <w:szCs w:val="24"/>
        </w:rPr>
        <w:t>Francesco Stramaglia</w:t>
      </w:r>
      <w:r w:rsidRPr="00C471AE">
        <w:rPr>
          <w:rFonts w:ascii="Times New Roman" w:hAnsi="Times New Roman" w:cs="Times New Roman"/>
          <w:sz w:val="24"/>
          <w:szCs w:val="24"/>
        </w:rPr>
        <w:t>)</w:t>
      </w:r>
    </w:p>
    <w:p w:rsidR="005030EF" w:rsidRPr="00C471AE" w:rsidRDefault="005030EF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E1D4D" w:rsidRPr="00C471AE" w:rsidRDefault="008E1D4D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A9" w:rsidRPr="00C471AE" w:rsidRDefault="00362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 xml:space="preserve">Letto, confermato e sottoscritto. </w:t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  <w:t>Firmato digitalmente</w:t>
      </w:r>
    </w:p>
    <w:p w:rsidR="008E1D4D" w:rsidRPr="00C471AE" w:rsidRDefault="008E1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D" w:rsidRPr="00C471AE" w:rsidRDefault="008E1D4D" w:rsidP="008E1D4D">
      <w:pPr>
        <w:pStyle w:val="Corpodeltesto"/>
        <w:spacing w:line="276" w:lineRule="auto"/>
        <w:ind w:left="0"/>
        <w:rPr>
          <w:rFonts w:eastAsiaTheme="minorEastAsia"/>
        </w:rPr>
      </w:pPr>
    </w:p>
    <w:p w:rsidR="008E1D4D" w:rsidRPr="00C471AE" w:rsidRDefault="008E1D4D" w:rsidP="008E1D4D">
      <w:pPr>
        <w:pStyle w:val="Corpodeltesto"/>
        <w:spacing w:line="276" w:lineRule="auto"/>
        <w:ind w:left="0"/>
        <w:rPr>
          <w:rFonts w:eastAsiaTheme="minorEastAsia"/>
        </w:rPr>
      </w:pPr>
    </w:p>
    <w:p w:rsidR="008E1D4D" w:rsidRPr="00C471AE" w:rsidRDefault="008E1D4D" w:rsidP="008E1D4D">
      <w:pPr>
        <w:pStyle w:val="Corpodeltesto"/>
        <w:spacing w:line="276" w:lineRule="auto"/>
        <w:ind w:left="0"/>
        <w:rPr>
          <w:rFonts w:eastAsiaTheme="minorEastAsia"/>
        </w:rPr>
      </w:pPr>
    </w:p>
    <w:p w:rsidR="008E1D4D" w:rsidRPr="00C471AE" w:rsidRDefault="008E1D4D" w:rsidP="008E1D4D">
      <w:pPr>
        <w:pStyle w:val="Corpodeltesto"/>
        <w:spacing w:line="276" w:lineRule="auto"/>
        <w:ind w:left="0"/>
        <w:rPr>
          <w:rFonts w:eastAsiaTheme="minorEastAsia"/>
        </w:rPr>
      </w:pPr>
    </w:p>
    <w:p w:rsidR="005822A9" w:rsidRPr="00C471AE" w:rsidRDefault="008E1D4D" w:rsidP="008E1D4D">
      <w:pPr>
        <w:pStyle w:val="Corpodeltesto"/>
        <w:spacing w:line="276" w:lineRule="auto"/>
        <w:ind w:left="0"/>
      </w:pPr>
      <w:r w:rsidRPr="00C471AE">
        <w:rPr>
          <w:b/>
        </w:rPr>
        <w:lastRenderedPageBreak/>
        <w:t>N.B.</w:t>
      </w:r>
      <w:r w:rsidRPr="00C471AE">
        <w:rPr>
          <w:b/>
        </w:rPr>
        <w:br/>
      </w:r>
      <w:r w:rsidRPr="00C471AE">
        <w:t>Il presente patto d’integrità deve essere obbligatoriamente sottoscritto e presentato insieme all’offerta da ciascun partecipante alla gara.</w:t>
      </w:r>
    </w:p>
    <w:sectPr w:rsidR="005822A9" w:rsidRPr="00C471AE" w:rsidSect="0025699A">
      <w:headerReference w:type="default" r:id="rId7"/>
      <w:footerReference w:type="default" r:id="rId8"/>
      <w:pgSz w:w="12240" w:h="15840"/>
      <w:pgMar w:top="2664" w:right="1134" w:bottom="1134" w:left="1134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91" w:rsidRDefault="007B6991" w:rsidP="005A2797">
      <w:pPr>
        <w:spacing w:after="0" w:line="240" w:lineRule="auto"/>
      </w:pPr>
      <w:r>
        <w:separator/>
      </w:r>
    </w:p>
  </w:endnote>
  <w:endnote w:type="continuationSeparator" w:id="1">
    <w:p w:rsidR="007B6991" w:rsidRDefault="007B6991" w:rsidP="005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939890"/>
      <w:docPartObj>
        <w:docPartGallery w:val="Page Numbers (Bottom of Page)"/>
        <w:docPartUnique/>
      </w:docPartObj>
    </w:sdtPr>
    <w:sdtContent>
      <w:p w:rsidR="009B03EE" w:rsidRDefault="003E5EF8">
        <w:pPr>
          <w:pStyle w:val="Pidipagina"/>
          <w:jc w:val="right"/>
        </w:pPr>
        <w:r>
          <w:fldChar w:fldCharType="begin"/>
        </w:r>
        <w:r w:rsidR="00882419">
          <w:instrText>PAGE   \* MERGEFORMAT</w:instrText>
        </w:r>
        <w:r>
          <w:fldChar w:fldCharType="separate"/>
        </w:r>
        <w:r w:rsidR="00C36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3EE" w:rsidRDefault="009B03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91" w:rsidRDefault="007B6991" w:rsidP="005A2797">
      <w:pPr>
        <w:spacing w:after="0" w:line="240" w:lineRule="auto"/>
      </w:pPr>
      <w:r>
        <w:separator/>
      </w:r>
    </w:p>
  </w:footnote>
  <w:footnote w:type="continuationSeparator" w:id="1">
    <w:p w:rsidR="007B6991" w:rsidRDefault="007B6991" w:rsidP="005A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EE" w:rsidRDefault="009B03EE" w:rsidP="0025699A">
    <w:pPr>
      <w:pStyle w:val="Intestazione"/>
      <w:tabs>
        <w:tab w:val="clear" w:pos="4819"/>
        <w:tab w:val="clear" w:pos="9638"/>
        <w:tab w:val="center" w:pos="1560"/>
        <w:tab w:val="right" w:pos="8222"/>
        <w:tab w:val="left" w:pos="9072"/>
      </w:tabs>
      <w:jc w:val="right"/>
    </w:pPr>
    <w:r>
      <w:tab/>
    </w:r>
    <w:r>
      <w:tab/>
    </w: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-79375</wp:posOffset>
          </wp:positionV>
          <wp:extent cx="809625" cy="77152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:rsidR="009B03EE" w:rsidRPr="00BC03D5" w:rsidRDefault="009B03EE" w:rsidP="0025699A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</w:p>
  <w:p w:rsidR="009B03EE" w:rsidRPr="00BC03D5" w:rsidRDefault="009B03EE" w:rsidP="0025699A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  <w:r w:rsidRPr="00BC03D5">
      <w:rPr>
        <w:rFonts w:asciiTheme="majorHAnsi" w:hAnsiTheme="majorHAnsi" w:cstheme="majorHAnsi"/>
        <w:b/>
        <w:sz w:val="18"/>
      </w:rPr>
      <w:t>Consorzio ASI di Bari</w:t>
    </w:r>
  </w:p>
  <w:p w:rsidR="009B03EE" w:rsidRDefault="009B03EE" w:rsidP="0025699A">
    <w:pPr>
      <w:pStyle w:val="Intestazione"/>
    </w:pPr>
  </w:p>
  <w:p w:rsidR="009B03EE" w:rsidRDefault="009B03EE" w:rsidP="0025699A">
    <w:pPr>
      <w:pStyle w:val="Intestazione"/>
      <w:tabs>
        <w:tab w:val="clear" w:pos="4819"/>
        <w:tab w:val="clear" w:pos="9638"/>
        <w:tab w:val="left" w:pos="13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F63F32"/>
    <w:lvl w:ilvl="0">
      <w:numFmt w:val="bullet"/>
      <w:lvlText w:val="*"/>
      <w:lvlJc w:val="left"/>
    </w:lvl>
  </w:abstractNum>
  <w:abstractNum w:abstractNumId="1">
    <w:nsid w:val="0000042A"/>
    <w:multiLevelType w:val="multilevel"/>
    <w:tmpl w:val="000008AD"/>
    <w:lvl w:ilvl="0">
      <w:numFmt w:val="bullet"/>
      <w:lvlText w:val="-"/>
      <w:lvlJc w:val="left"/>
      <w:pPr>
        <w:ind w:left="832" w:hanging="360"/>
      </w:pPr>
      <w:rPr>
        <w:rFonts w:ascii="Garamond" w:hAnsi="Garamond"/>
        <w:b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>
    <w:nsid w:val="1C33044D"/>
    <w:multiLevelType w:val="hybridMultilevel"/>
    <w:tmpl w:val="7E680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44098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364F"/>
    <w:multiLevelType w:val="hybridMultilevel"/>
    <w:tmpl w:val="7584B4CC"/>
    <w:lvl w:ilvl="0" w:tplc="77E05020">
      <w:start w:val="14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E802FBC"/>
    <w:multiLevelType w:val="hybridMultilevel"/>
    <w:tmpl w:val="64326310"/>
    <w:lvl w:ilvl="0" w:tplc="80C8EE52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D30F74"/>
    <w:multiLevelType w:val="hybridMultilevel"/>
    <w:tmpl w:val="103658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BB66FF"/>
    <w:multiLevelType w:val="hybridMultilevel"/>
    <w:tmpl w:val="1D9C32CC"/>
    <w:lvl w:ilvl="0" w:tplc="77E0502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54E24"/>
    <w:multiLevelType w:val="hybridMultilevel"/>
    <w:tmpl w:val="13EEF9EC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26146"/>
    <w:multiLevelType w:val="hybridMultilevel"/>
    <w:tmpl w:val="49DE3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1CDE"/>
    <w:multiLevelType w:val="hybridMultilevel"/>
    <w:tmpl w:val="6E90E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04A51"/>
    <w:multiLevelType w:val="hybridMultilevel"/>
    <w:tmpl w:val="186C3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498AB62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B46C0DA4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031CB5"/>
    <w:multiLevelType w:val="hybridMultilevel"/>
    <w:tmpl w:val="EBFCCE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682"/>
    <w:rsid w:val="0001735D"/>
    <w:rsid w:val="000A13B9"/>
    <w:rsid w:val="000C4F13"/>
    <w:rsid w:val="000D00C8"/>
    <w:rsid w:val="0014380C"/>
    <w:rsid w:val="001F27B2"/>
    <w:rsid w:val="002165F6"/>
    <w:rsid w:val="002263FE"/>
    <w:rsid w:val="00240392"/>
    <w:rsid w:val="0025699A"/>
    <w:rsid w:val="002918F4"/>
    <w:rsid w:val="002F5F2D"/>
    <w:rsid w:val="002F6E6A"/>
    <w:rsid w:val="00362682"/>
    <w:rsid w:val="003B5870"/>
    <w:rsid w:val="003E43F7"/>
    <w:rsid w:val="003E5EF8"/>
    <w:rsid w:val="00414801"/>
    <w:rsid w:val="00424E16"/>
    <w:rsid w:val="00446405"/>
    <w:rsid w:val="004557A0"/>
    <w:rsid w:val="004627DA"/>
    <w:rsid w:val="00490FDE"/>
    <w:rsid w:val="004A43E6"/>
    <w:rsid w:val="004C25B7"/>
    <w:rsid w:val="004F06B1"/>
    <w:rsid w:val="004F71DC"/>
    <w:rsid w:val="005013C5"/>
    <w:rsid w:val="005030EF"/>
    <w:rsid w:val="0057752A"/>
    <w:rsid w:val="005822A9"/>
    <w:rsid w:val="005A2797"/>
    <w:rsid w:val="005C069D"/>
    <w:rsid w:val="005D5BB8"/>
    <w:rsid w:val="0060532C"/>
    <w:rsid w:val="00611D60"/>
    <w:rsid w:val="006877CE"/>
    <w:rsid w:val="0069261D"/>
    <w:rsid w:val="006966F1"/>
    <w:rsid w:val="006A4F11"/>
    <w:rsid w:val="006A6908"/>
    <w:rsid w:val="006C1165"/>
    <w:rsid w:val="006D0C14"/>
    <w:rsid w:val="007104DD"/>
    <w:rsid w:val="00727E89"/>
    <w:rsid w:val="00750EBA"/>
    <w:rsid w:val="00773EF9"/>
    <w:rsid w:val="007B6991"/>
    <w:rsid w:val="007B6D0E"/>
    <w:rsid w:val="007F5092"/>
    <w:rsid w:val="008379A5"/>
    <w:rsid w:val="008408E1"/>
    <w:rsid w:val="00846DCB"/>
    <w:rsid w:val="008722E0"/>
    <w:rsid w:val="00882419"/>
    <w:rsid w:val="00892DD1"/>
    <w:rsid w:val="008B400D"/>
    <w:rsid w:val="008B6ACC"/>
    <w:rsid w:val="008E1D4D"/>
    <w:rsid w:val="00921A75"/>
    <w:rsid w:val="009B03EE"/>
    <w:rsid w:val="009B1095"/>
    <w:rsid w:val="009B74D6"/>
    <w:rsid w:val="00A33507"/>
    <w:rsid w:val="00A430EE"/>
    <w:rsid w:val="00AE1F8A"/>
    <w:rsid w:val="00B02597"/>
    <w:rsid w:val="00B07834"/>
    <w:rsid w:val="00B24BC6"/>
    <w:rsid w:val="00B70515"/>
    <w:rsid w:val="00BF1594"/>
    <w:rsid w:val="00C36CE9"/>
    <w:rsid w:val="00C471AE"/>
    <w:rsid w:val="00C50A89"/>
    <w:rsid w:val="00C73CBC"/>
    <w:rsid w:val="00D355FD"/>
    <w:rsid w:val="00D67AAC"/>
    <w:rsid w:val="00E108F8"/>
    <w:rsid w:val="00E536CD"/>
    <w:rsid w:val="00F169FC"/>
    <w:rsid w:val="00F34605"/>
    <w:rsid w:val="00F365E5"/>
    <w:rsid w:val="00FE49F3"/>
    <w:rsid w:val="00FE5BB0"/>
    <w:rsid w:val="00FF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8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797"/>
  </w:style>
  <w:style w:type="paragraph" w:styleId="Pidipagina">
    <w:name w:val="footer"/>
    <w:basedOn w:val="Normale"/>
    <w:link w:val="Pidipagina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797"/>
  </w:style>
  <w:style w:type="paragraph" w:styleId="Corpodeltesto">
    <w:name w:val="Body Text"/>
    <w:basedOn w:val="Normale"/>
    <w:link w:val="CorpodeltestoCarattere"/>
    <w:uiPriority w:val="1"/>
    <w:qFormat/>
    <w:rsid w:val="0025699A"/>
    <w:pPr>
      <w:widowControl w:val="0"/>
      <w:autoSpaceDE w:val="0"/>
      <w:autoSpaceDN w:val="0"/>
      <w:adjustRightInd w:val="0"/>
      <w:spacing w:before="6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5699A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10modulistica">
    <w:name w:val="Testo 10 modulistica"/>
    <w:basedOn w:val="Normale"/>
    <w:rsid w:val="0025699A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</w:rPr>
  </w:style>
  <w:style w:type="paragraph" w:styleId="Nessunaspaziatura">
    <w:name w:val="No Spacing"/>
    <w:uiPriority w:val="1"/>
    <w:qFormat/>
    <w:rsid w:val="005030EF"/>
    <w:pPr>
      <w:spacing w:after="0" w:line="240" w:lineRule="auto"/>
    </w:pPr>
    <w:rPr>
      <w:rFonts w:ascii="Calibri" w:eastAsia="SimSun" w:hAnsi="Calibri" w:cs="Arial"/>
      <w:lang w:val="en-US" w:eastAsia="ja-JP"/>
    </w:rPr>
  </w:style>
  <w:style w:type="paragraph" w:customStyle="1" w:styleId="Standard">
    <w:name w:val="Standard"/>
    <w:rsid w:val="006A69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6A69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SORRENTINO</dc:creator>
  <cp:lastModifiedBy>Francesco Stramaglia</cp:lastModifiedBy>
  <cp:revision>8</cp:revision>
  <cp:lastPrinted>2021-03-17T14:04:00Z</cp:lastPrinted>
  <dcterms:created xsi:type="dcterms:W3CDTF">2021-03-17T14:04:00Z</dcterms:created>
  <dcterms:modified xsi:type="dcterms:W3CDTF">2022-05-24T15:35:00Z</dcterms:modified>
</cp:coreProperties>
</file>